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53F" w:rsidRPr="00F41088" w:rsidRDefault="00AB2BA6">
      <w:pPr>
        <w:rPr>
          <w:rFonts w:ascii="Times New Roman" w:eastAsia="宋体" w:hAnsi="Times New Roman" w:cs="Times New Roman"/>
          <w:b/>
          <w:bCs/>
          <w:i/>
          <w:iCs/>
          <w:sz w:val="40"/>
          <w:szCs w:val="40"/>
          <w:lang w:eastAsia="zh-CN"/>
        </w:rPr>
      </w:pPr>
      <w:r w:rsidRPr="00F41088">
        <w:rPr>
          <w:rFonts w:ascii="Times New Roman" w:eastAsia="宋体" w:hAnsi="Times New Roman" w:cs="Times New Roman"/>
          <w:b/>
          <w:bCs/>
          <w:i/>
          <w:iCs/>
          <w:sz w:val="40"/>
          <w:szCs w:val="40"/>
          <w:lang w:eastAsia="zh-CN"/>
        </w:rPr>
        <w:t>RCM 49528</w:t>
      </w:r>
    </w:p>
    <w:p w:rsidR="0068553F" w:rsidRPr="00F41088" w:rsidRDefault="00AB2BA6">
      <w:pPr>
        <w:jc w:val="both"/>
        <w:rPr>
          <w:rFonts w:ascii="Times New Roman" w:eastAsia="宋体" w:hAnsi="Times New Roman" w:cs="Times New Roman"/>
          <w:b/>
          <w:bCs/>
          <w:i/>
          <w:iCs/>
          <w:sz w:val="40"/>
          <w:szCs w:val="40"/>
          <w:lang w:eastAsia="zh-CN"/>
        </w:rPr>
      </w:pPr>
      <w:r w:rsidRPr="00F41088">
        <w:rPr>
          <w:rFonts w:ascii="Times New Roman" w:eastAsia="宋体" w:hAnsi="Times New Roman" w:cs="Times New Roman"/>
          <w:b/>
          <w:bCs/>
          <w:i/>
          <w:iCs/>
          <w:sz w:val="40"/>
          <w:szCs w:val="40"/>
          <w:lang w:eastAsia="zh-CN"/>
        </w:rPr>
        <w:t xml:space="preserve">Title: </w:t>
      </w:r>
      <w:r w:rsidRPr="00F41088">
        <w:rPr>
          <w:rFonts w:ascii="Times New Roman" w:eastAsia="等线" w:hAnsi="Times New Roman" w:cs="Times New Roman"/>
          <w:b/>
          <w:bCs/>
          <w:spacing w:val="-8"/>
          <w:sz w:val="36"/>
          <w:szCs w:val="32"/>
        </w:rPr>
        <w:t>Outcome Stratification In Non-ST-Segment Elevation Myocardial Infarction: Standardized Assessment Of Left Ventricular Global Longitudinal Strain</w:t>
      </w:r>
    </w:p>
    <w:p w:rsidR="0068553F" w:rsidRPr="00F41088" w:rsidRDefault="00AB2BA6">
      <w:pPr>
        <w:rPr>
          <w:rFonts w:ascii="Times New Roman" w:eastAsiaTheme="majorEastAsia" w:hAnsi="Times New Roman" w:cs="Times New Roman"/>
          <w:b/>
          <w:bCs/>
          <w:sz w:val="48"/>
          <w:szCs w:val="48"/>
        </w:rPr>
      </w:pPr>
      <w:r w:rsidRPr="00F41088">
        <w:rPr>
          <w:rFonts w:ascii="Times New Roman" w:eastAsiaTheme="majorEastAsia" w:hAnsi="Times New Roman" w:cs="Times New Roman"/>
          <w:b/>
          <w:bCs/>
          <w:sz w:val="48"/>
          <w:szCs w:val="48"/>
        </w:rPr>
        <w:t>Supplementary Materials</w:t>
      </w:r>
    </w:p>
    <w:p w:rsidR="0071743C" w:rsidRPr="00F41088" w:rsidRDefault="00AB2BA6">
      <w:pPr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</w:rPr>
        <w:t>This supplementary file provides additional figures and tables supporting the incremental prognostic value, internal validation, interaction analyses, and power context.</w:t>
      </w:r>
      <w:r w:rsidR="0071743C" w:rsidRPr="00F41088">
        <w:rPr>
          <w:rFonts w:ascii="Times New Roman" w:hAnsi="Times New Roman" w:cs="Times New Roman"/>
        </w:rPr>
        <w:br w:type="page"/>
      </w:r>
    </w:p>
    <w:p w:rsidR="0068553F" w:rsidRPr="00F41088" w:rsidRDefault="00AB2BA6">
      <w:pPr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114300" distR="114300">
            <wp:extent cx="5669280" cy="463751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6080"/>
                    <a:stretch/>
                  </pic:blipFill>
                  <pic:spPr bwMode="auto">
                    <a:xfrm>
                      <a:off x="0" y="0"/>
                      <a:ext cx="5669280" cy="4637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743C" w:rsidRPr="00F41088" w:rsidRDefault="00F41088" w:rsidP="00C55AD3">
      <w:pPr>
        <w:outlineLvl w:val="0"/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  <w:b/>
        </w:rPr>
        <w:t>Supplementary Fig. 1. ROC curves for 12-month MACE prediction</w:t>
      </w:r>
      <w:r w:rsidRPr="00F41088">
        <w:rPr>
          <w:rFonts w:ascii="Times New Roman" w:hAnsi="Times New Roman" w:cs="Times New Roman"/>
        </w:rPr>
        <w:t xml:space="preserve">. </w:t>
      </w:r>
      <w:r w:rsidR="00AB2BA6" w:rsidRPr="00F41088">
        <w:rPr>
          <w:rFonts w:ascii="Times New Roman" w:hAnsi="Times New Roman" w:cs="Times New Roman"/>
        </w:rPr>
        <w:t>Receiver operating characteristic curves comparing the baseline clinical model (GRACE score, diabetes, and Killip classification) with the extended model including LVGLS.</w:t>
      </w:r>
      <w:r w:rsidR="0071743C" w:rsidRPr="00F41088">
        <w:rPr>
          <w:rFonts w:ascii="Times New Roman" w:hAnsi="Times New Roman" w:cs="Times New Roman"/>
        </w:rPr>
        <w:br w:type="page"/>
      </w:r>
    </w:p>
    <w:p w:rsidR="0068553F" w:rsidRPr="00F41088" w:rsidRDefault="00AB2BA6">
      <w:pPr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114300" distR="114300">
            <wp:extent cx="5669280" cy="4630686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6219"/>
                    <a:stretch/>
                  </pic:blipFill>
                  <pic:spPr bwMode="auto">
                    <a:xfrm>
                      <a:off x="0" y="0"/>
                      <a:ext cx="5669280" cy="4630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553F" w:rsidRPr="00F41088" w:rsidRDefault="00F41088" w:rsidP="00C55AD3">
      <w:pPr>
        <w:outlineLvl w:val="0"/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  <w:b/>
        </w:rPr>
        <w:t>Supplementary Fig. 2. Bootstrap distribution of the LVGLS cutoff</w:t>
      </w:r>
      <w:r w:rsidRPr="00F41088">
        <w:rPr>
          <w:rFonts w:ascii="Times New Roman" w:hAnsi="Times New Roman" w:cs="Times New Roman"/>
        </w:rPr>
        <w:t xml:space="preserve">. </w:t>
      </w:r>
      <w:r w:rsidR="00AB2BA6" w:rsidRPr="00F41088">
        <w:rPr>
          <w:rFonts w:ascii="Times New Roman" w:hAnsi="Times New Roman" w:cs="Times New Roman"/>
        </w:rPr>
        <w:t>Histogram of bootstrap-derived LVGLS cutoffs showing the stability of the Youden-derived threshold. The solid red line indicates the observed cutoff, and the dashed green line indicates the reported cutoff of -13.75%.</w:t>
      </w:r>
      <w:r w:rsidR="0071743C" w:rsidRPr="00F41088">
        <w:rPr>
          <w:rFonts w:ascii="Times New Roman" w:hAnsi="Times New Roman" w:cs="Times New Roman"/>
        </w:rPr>
        <w:br w:type="page"/>
      </w:r>
    </w:p>
    <w:p w:rsidR="0068553F" w:rsidRPr="00F41088" w:rsidRDefault="00AB2BA6">
      <w:pPr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0" distR="0">
            <wp:extent cx="4830822" cy="4220381"/>
            <wp:effectExtent l="0" t="0" r="8255" b="8890"/>
            <wp:docPr id="1038634830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634830" name="图片 1"/>
                    <pic:cNvPicPr/>
                  </pic:nvPicPr>
                  <pic:blipFill rotWithShape="1">
                    <a:blip r:embed="rId10"/>
                    <a:srcRect l="-1" t="6781" r="-117"/>
                    <a:stretch/>
                  </pic:blipFill>
                  <pic:spPr bwMode="auto">
                    <a:xfrm>
                      <a:off x="0" y="0"/>
                      <a:ext cx="4831651" cy="4221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553F" w:rsidRPr="00F41088" w:rsidRDefault="00F41088" w:rsidP="00C55AD3">
      <w:pPr>
        <w:outlineLvl w:val="0"/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  <w:b/>
        </w:rPr>
        <w:t>Supplementary Fig. 3. Restricted cubic spline of LVGLS and MACE risk</w:t>
      </w:r>
      <w:r w:rsidRPr="00F41088">
        <w:rPr>
          <w:rFonts w:ascii="Times New Roman" w:hAnsi="Times New Roman" w:cs="Times New Roman"/>
        </w:rPr>
        <w:t xml:space="preserve">. </w:t>
      </w:r>
      <w:r w:rsidR="00AB2BA6" w:rsidRPr="00F41088">
        <w:rPr>
          <w:rFonts w:ascii="Times New Roman" w:hAnsi="Times New Roman" w:cs="Times New Roman"/>
        </w:rPr>
        <w:t>Restricted cubic spline analysis illustrating the dose-response relationship between LVGLS and MACE risk. No clear evidence of marked nonlinearity was observed in this cohort.</w:t>
      </w:r>
      <w:r w:rsidR="0071743C" w:rsidRPr="00F41088">
        <w:rPr>
          <w:rFonts w:ascii="Times New Roman" w:hAnsi="Times New Roman" w:cs="Times New Roman"/>
        </w:rPr>
        <w:br w:type="page"/>
      </w:r>
    </w:p>
    <w:p w:rsidR="00625FD6" w:rsidRPr="00F41088" w:rsidRDefault="00625FD6" w:rsidP="00625FD6">
      <w:pPr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114300" distR="114300" wp14:anchorId="36C710DF" wp14:editId="0DDF07BE">
            <wp:extent cx="5669280" cy="3621339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-1" t="6845" r="-1"/>
                    <a:stretch/>
                  </pic:blipFill>
                  <pic:spPr bwMode="auto">
                    <a:xfrm>
                      <a:off x="0" y="0"/>
                      <a:ext cx="5669333" cy="3621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FD6" w:rsidRPr="00F41088" w:rsidRDefault="00F41088" w:rsidP="00C55AD3">
      <w:pPr>
        <w:outlineLvl w:val="0"/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  <w:b/>
        </w:rPr>
        <w:t xml:space="preserve">Supplementary Fig. 4. Forest plot of </w:t>
      </w:r>
      <w:bookmarkStart w:id="0" w:name="_GoBack"/>
      <w:bookmarkEnd w:id="0"/>
      <w:r w:rsidRPr="00F41088">
        <w:rPr>
          <w:rFonts w:ascii="Times New Roman" w:hAnsi="Times New Roman" w:cs="Times New Roman"/>
          <w:b/>
        </w:rPr>
        <w:t>LVGLS effect estimates</w:t>
      </w:r>
      <w:r w:rsidRPr="00F41088">
        <w:rPr>
          <w:rFonts w:ascii="Times New Roman" w:hAnsi="Times New Roman" w:cs="Times New Roman"/>
        </w:rPr>
        <w:t xml:space="preserve">. </w:t>
      </w:r>
      <w:r w:rsidR="00625FD6" w:rsidRPr="00F41088">
        <w:rPr>
          <w:rFonts w:ascii="Times New Roman" w:hAnsi="Times New Roman" w:cs="Times New Roman"/>
        </w:rPr>
        <w:t>Hazard ratio estimates for LVGLS in the overall model, sex-stratified models, and interaction analyses.</w:t>
      </w:r>
      <w:r w:rsidR="00625FD6" w:rsidRPr="00F41088">
        <w:rPr>
          <w:rFonts w:ascii="Times New Roman" w:hAnsi="Times New Roman" w:cs="Times New Roman"/>
        </w:rPr>
        <w:br w:type="page"/>
      </w:r>
    </w:p>
    <w:p w:rsidR="00625FD6" w:rsidRPr="00F41088" w:rsidRDefault="00625FD6" w:rsidP="00F41088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F41088">
        <w:rPr>
          <w:rFonts w:ascii="Times New Roman" w:hAnsi="Times New Roman" w:cs="Times New Roman"/>
          <w:color w:val="auto"/>
        </w:rPr>
        <w:lastRenderedPageBreak/>
        <w:t>Supplementary Table 1. Cox regression models</w:t>
      </w:r>
      <w:r w:rsidR="00F41088">
        <w:rPr>
          <w:rFonts w:ascii="Times New Roman" w:hAnsi="Times New Roman" w:cs="Times New Roman"/>
          <w:color w:val="auto"/>
        </w:rPr>
        <w:t>.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1357"/>
        <w:gridCol w:w="1789"/>
        <w:gridCol w:w="1269"/>
        <w:gridCol w:w="1269"/>
        <w:gridCol w:w="1269"/>
        <w:gridCol w:w="1269"/>
        <w:gridCol w:w="1267"/>
        <w:gridCol w:w="1265"/>
      </w:tblGrid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covariate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coef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SE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HR_95L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HR_95U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Main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grace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1.01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Main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2.17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Main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killip_high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2.67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Main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gls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1.42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Diabetes interaction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grace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1.01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Diabetes interaction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1.65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13.9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Diabetes interaction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killip_high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2.71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Diabetes interaction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gls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1.43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Diabetes interaction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gls_x_diabetes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1.25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Sex interaction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grace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1.01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Sex interaction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2.34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Sex interaction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killip_high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2.99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Sex interaction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gls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1.48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Sex interaction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-1.93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1.97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Sex interaction model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gls_x_female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1.07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Male subgroup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grace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1.01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Male subgroup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2.68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Male subgroup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killip_high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2.87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Male subgroup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gls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1.47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Female subgroup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grace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1.02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Female subgroup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6.09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 xml:space="preserve">Female </w:t>
            </w:r>
            <w:r w:rsidRPr="00F41088">
              <w:rPr>
                <w:rFonts w:ascii="Times New Roman" w:hAnsi="Times New Roman" w:cs="Times New Roman"/>
              </w:rPr>
              <w:lastRenderedPageBreak/>
              <w:t>subgroup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lastRenderedPageBreak/>
              <w:t>killip_high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2.89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25.55</w:t>
            </w:r>
          </w:p>
        </w:tc>
      </w:tr>
      <w:tr w:rsidR="00F41088" w:rsidRPr="00F41088" w:rsidTr="00F41088">
        <w:tc>
          <w:tcPr>
            <w:tcW w:w="631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lastRenderedPageBreak/>
              <w:t>Female subgroup</w:t>
            </w:r>
          </w:p>
        </w:tc>
        <w:tc>
          <w:tcPr>
            <w:tcW w:w="832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gls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590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589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588" w:type="pct"/>
          </w:tcPr>
          <w:p w:rsidR="00625FD6" w:rsidRPr="00F41088" w:rsidRDefault="00625FD6" w:rsidP="00AE46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1.38</w:t>
            </w:r>
          </w:p>
        </w:tc>
      </w:tr>
    </w:tbl>
    <w:p w:rsidR="00F41088" w:rsidRPr="0088324E" w:rsidRDefault="00F41088" w:rsidP="0088324E">
      <w:pPr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</w:rPr>
        <w:t>Detailed coefficients, hazard ratios, confidence intervals, and p-values for the main, interaction, and subgroup Cox models.</w:t>
      </w:r>
      <w:r w:rsidRPr="00F41088">
        <w:rPr>
          <w:rFonts w:ascii="Times New Roman" w:hAnsi="Times New Roman" w:cs="Times New Roman"/>
        </w:rPr>
        <w:br w:type="page"/>
      </w:r>
    </w:p>
    <w:p w:rsidR="0068553F" w:rsidRPr="00F41088" w:rsidRDefault="00AB2BA6" w:rsidP="00F41088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F41088">
        <w:rPr>
          <w:rFonts w:ascii="Times New Roman" w:hAnsi="Times New Roman" w:cs="Times New Roman"/>
          <w:color w:val="auto"/>
        </w:rPr>
        <w:lastRenderedPageBreak/>
        <w:t xml:space="preserve">Supplementary Table </w:t>
      </w:r>
      <w:r w:rsidR="00625FD6" w:rsidRPr="00F41088">
        <w:rPr>
          <w:rFonts w:ascii="Times New Roman" w:hAnsi="Times New Roman" w:cs="Times New Roman"/>
          <w:color w:val="auto"/>
        </w:rPr>
        <w:t>2</w:t>
      </w:r>
      <w:r w:rsidRPr="00F41088">
        <w:rPr>
          <w:rFonts w:ascii="Times New Roman" w:hAnsi="Times New Roman" w:cs="Times New Roman"/>
          <w:color w:val="auto"/>
        </w:rPr>
        <w:t>. Incremental prognostic value of LVGLS</w:t>
      </w:r>
      <w:r w:rsidR="00F41088">
        <w:rPr>
          <w:rFonts w:ascii="Times New Roman" w:hAnsi="Times New Roman" w:cs="Times New Roman"/>
          <w:color w:val="auto"/>
        </w:rPr>
        <w:t>.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1154"/>
        <w:gridCol w:w="1153"/>
        <w:gridCol w:w="1153"/>
        <w:gridCol w:w="1153"/>
        <w:gridCol w:w="1263"/>
        <w:gridCol w:w="1888"/>
        <w:gridCol w:w="1837"/>
        <w:gridCol w:w="1153"/>
      </w:tblGrid>
      <w:tr w:rsidR="00F41088" w:rsidRPr="00F41088" w:rsidTr="00F41088">
        <w:tc>
          <w:tcPr>
            <w:tcW w:w="537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Events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C_index</w:t>
            </w:r>
          </w:p>
        </w:tc>
        <w:tc>
          <w:tcPr>
            <w:tcW w:w="587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AUC_12m</w:t>
            </w:r>
          </w:p>
        </w:tc>
        <w:tc>
          <w:tcPr>
            <w:tcW w:w="878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Delta_AUC_12m</w:t>
            </w:r>
          </w:p>
        </w:tc>
        <w:tc>
          <w:tcPr>
            <w:tcW w:w="854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Continuous_NRI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IDI</w:t>
            </w:r>
          </w:p>
        </w:tc>
      </w:tr>
      <w:tr w:rsidR="00F41088" w:rsidRPr="00F41088" w:rsidTr="00F41088">
        <w:tc>
          <w:tcPr>
            <w:tcW w:w="537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Base model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587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0.6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7</w:t>
            </w:r>
          </w:p>
        </w:tc>
        <w:tc>
          <w:tcPr>
            <w:tcW w:w="878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nan</w:t>
            </w:r>
          </w:p>
        </w:tc>
        <w:tc>
          <w:tcPr>
            <w:tcW w:w="854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nan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nan</w:t>
            </w:r>
          </w:p>
        </w:tc>
      </w:tr>
      <w:tr w:rsidR="00F41088" w:rsidRPr="00F41088" w:rsidTr="00F41088">
        <w:tc>
          <w:tcPr>
            <w:tcW w:w="537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Base + LVGLS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0.8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1</w:t>
            </w:r>
          </w:p>
        </w:tc>
        <w:tc>
          <w:tcPr>
            <w:tcW w:w="587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0.8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4</w:t>
            </w:r>
          </w:p>
        </w:tc>
        <w:tc>
          <w:tcPr>
            <w:tcW w:w="878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0.1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7</w:t>
            </w:r>
          </w:p>
        </w:tc>
        <w:tc>
          <w:tcPr>
            <w:tcW w:w="854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0.9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6</w:t>
            </w:r>
          </w:p>
        </w:tc>
        <w:tc>
          <w:tcPr>
            <w:tcW w:w="5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0.2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2</w:t>
            </w:r>
          </w:p>
        </w:tc>
      </w:tr>
    </w:tbl>
    <w:p w:rsidR="00F41088" w:rsidRPr="00F41088" w:rsidRDefault="00F41088" w:rsidP="0088324E">
      <w:pPr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</w:rPr>
        <w:t>Summary of model discrimination before and after adding LVGLS to the baseline clinical model.</w:t>
      </w:r>
      <w:r w:rsidRPr="00F41088">
        <w:rPr>
          <w:rFonts w:ascii="Times New Roman" w:hAnsi="Times New Roman" w:cs="Times New Roman"/>
        </w:rPr>
        <w:br w:type="page"/>
      </w:r>
    </w:p>
    <w:p w:rsidR="0068553F" w:rsidRPr="00F41088" w:rsidRDefault="00AB2BA6" w:rsidP="00F41088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F41088">
        <w:rPr>
          <w:rFonts w:ascii="Times New Roman" w:hAnsi="Times New Roman" w:cs="Times New Roman"/>
          <w:color w:val="auto"/>
        </w:rPr>
        <w:lastRenderedPageBreak/>
        <w:t xml:space="preserve">Supplementary Table </w:t>
      </w:r>
      <w:r w:rsidR="00625FD6" w:rsidRPr="00F41088">
        <w:rPr>
          <w:rFonts w:ascii="Times New Roman" w:hAnsi="Times New Roman" w:cs="Times New Roman"/>
          <w:color w:val="auto"/>
        </w:rPr>
        <w:t>3</w:t>
      </w:r>
      <w:r w:rsidRPr="00F41088">
        <w:rPr>
          <w:rFonts w:ascii="Times New Roman" w:hAnsi="Times New Roman" w:cs="Times New Roman"/>
          <w:color w:val="auto"/>
        </w:rPr>
        <w:t>. Bootstrap validation and reclassification metrics</w:t>
      </w:r>
      <w:r w:rsidR="00F41088">
        <w:rPr>
          <w:rFonts w:ascii="Times New Roman" w:hAnsi="Times New Roman" w:cs="Times New Roman"/>
          <w:color w:val="auto"/>
        </w:rPr>
        <w:t>.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1748"/>
        <w:gridCol w:w="1749"/>
        <w:gridCol w:w="2013"/>
        <w:gridCol w:w="1749"/>
        <w:gridCol w:w="1749"/>
        <w:gridCol w:w="1746"/>
      </w:tblGrid>
      <w:tr w:rsidR="00F41088" w:rsidRPr="00F41088" w:rsidTr="00F41088"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Metric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Observed</w:t>
            </w:r>
          </w:p>
        </w:tc>
        <w:tc>
          <w:tcPr>
            <w:tcW w:w="9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Bootstrap_mean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CI_95_L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CI_95_U</w:t>
            </w:r>
          </w:p>
        </w:tc>
        <w:tc>
          <w:tcPr>
            <w:tcW w:w="812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P_bootstrap</w:t>
            </w:r>
          </w:p>
        </w:tc>
      </w:tr>
      <w:tr w:rsidR="00F41088" w:rsidRPr="00F41088" w:rsidTr="00F41088"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Delta AUC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0.1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7</w:t>
            </w:r>
          </w:p>
        </w:tc>
        <w:tc>
          <w:tcPr>
            <w:tcW w:w="9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0.1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7</w:t>
            </w:r>
            <w:r w:rsidRPr="00F4108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7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8</w:t>
            </w:r>
          </w:p>
        </w:tc>
        <w:tc>
          <w:tcPr>
            <w:tcW w:w="812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</w:tr>
      <w:tr w:rsidR="00F41088" w:rsidRPr="00F41088" w:rsidTr="00F41088"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Continuous NRI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0.9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6</w:t>
            </w:r>
          </w:p>
        </w:tc>
        <w:tc>
          <w:tcPr>
            <w:tcW w:w="9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0.5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9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1.3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8</w:t>
            </w:r>
          </w:p>
        </w:tc>
        <w:tc>
          <w:tcPr>
            <w:tcW w:w="812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</w:tr>
      <w:tr w:rsidR="00F41088" w:rsidRPr="00F41088" w:rsidTr="00F41088"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IDI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0.2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2</w:t>
            </w:r>
          </w:p>
        </w:tc>
        <w:tc>
          <w:tcPr>
            <w:tcW w:w="9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0.2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5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F41088">
              <w:rPr>
                <w:rFonts w:ascii="Times New Roman" w:hAnsi="Times New Roman" w:cs="Times New Roman"/>
              </w:rPr>
              <w:t>0.1</w:t>
            </w:r>
            <w:r w:rsidRPr="00F41088">
              <w:rPr>
                <w:rFonts w:ascii="Times New Roman" w:eastAsia="宋体" w:hAnsi="Times New Roman" w:cs="Times New Roman"/>
                <w:lang w:eastAsia="zh-CN"/>
              </w:rPr>
              <w:t>2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812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0.0</w:t>
            </w:r>
          </w:p>
        </w:tc>
      </w:tr>
      <w:tr w:rsidR="00F41088" w:rsidRPr="00F41088" w:rsidTr="00F41088"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LVGLS cutoff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-13.7</w:t>
            </w:r>
          </w:p>
        </w:tc>
        <w:tc>
          <w:tcPr>
            <w:tcW w:w="9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-13.26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-14.9</w:t>
            </w:r>
          </w:p>
        </w:tc>
        <w:tc>
          <w:tcPr>
            <w:tcW w:w="81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-11.5</w:t>
            </w:r>
          </w:p>
        </w:tc>
        <w:tc>
          <w:tcPr>
            <w:tcW w:w="812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nan</w:t>
            </w:r>
          </w:p>
        </w:tc>
      </w:tr>
    </w:tbl>
    <w:p w:rsidR="00F41088" w:rsidRPr="0088324E" w:rsidRDefault="00F41088" w:rsidP="0088324E">
      <w:pPr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</w:rPr>
        <w:t>Bootstrap-derived estimates for delta AUC, continuous NRI, IDI, and LVGLS cutoff stability.</w:t>
      </w:r>
      <w:r w:rsidRPr="00F41088">
        <w:rPr>
          <w:rFonts w:ascii="Times New Roman" w:hAnsi="Times New Roman" w:cs="Times New Roman"/>
        </w:rPr>
        <w:br w:type="page"/>
      </w:r>
    </w:p>
    <w:p w:rsidR="0068553F" w:rsidRPr="00F41088" w:rsidRDefault="00AB2BA6" w:rsidP="00F41088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F41088">
        <w:rPr>
          <w:rFonts w:ascii="Times New Roman" w:hAnsi="Times New Roman" w:cs="Times New Roman"/>
          <w:color w:val="auto"/>
        </w:rPr>
        <w:lastRenderedPageBreak/>
        <w:t>Supplementary Table 4. Post-hoc power context</w:t>
      </w:r>
      <w:r w:rsidR="00F41088">
        <w:rPr>
          <w:rFonts w:ascii="Times New Roman" w:hAnsi="Times New Roman" w:cs="Times New Roman"/>
          <w:color w:val="auto"/>
        </w:rPr>
        <w:t>.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1583"/>
        <w:gridCol w:w="1493"/>
        <w:gridCol w:w="2270"/>
        <w:gridCol w:w="2954"/>
        <w:gridCol w:w="2454"/>
      </w:tblGrid>
      <w:tr w:rsidR="00F41088" w:rsidRPr="00F41088" w:rsidTr="00F41088">
        <w:tc>
          <w:tcPr>
            <w:tcW w:w="7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Endpoint</w:t>
            </w:r>
          </w:p>
        </w:tc>
        <w:tc>
          <w:tcPr>
            <w:tcW w:w="694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Events</w:t>
            </w:r>
          </w:p>
        </w:tc>
        <w:tc>
          <w:tcPr>
            <w:tcW w:w="1055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LVGLS_threshold_HR</w:t>
            </w:r>
          </w:p>
        </w:tc>
        <w:tc>
          <w:tcPr>
            <w:tcW w:w="137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Threshold_positive_proportion</w:t>
            </w:r>
          </w:p>
        </w:tc>
        <w:tc>
          <w:tcPr>
            <w:tcW w:w="1141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Approx_post_hoc_power</w:t>
            </w:r>
          </w:p>
        </w:tc>
      </w:tr>
      <w:tr w:rsidR="00F41088" w:rsidRPr="00F41088" w:rsidTr="00F41088">
        <w:tc>
          <w:tcPr>
            <w:tcW w:w="736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Composite MACE</w:t>
            </w:r>
          </w:p>
        </w:tc>
        <w:tc>
          <w:tcPr>
            <w:tcW w:w="694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55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6.46</w:t>
            </w:r>
          </w:p>
        </w:tc>
        <w:tc>
          <w:tcPr>
            <w:tcW w:w="1373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141" w:type="pct"/>
          </w:tcPr>
          <w:p w:rsidR="0068553F" w:rsidRPr="00F41088" w:rsidRDefault="00AB2B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1088">
              <w:rPr>
                <w:rFonts w:ascii="Times New Roman" w:hAnsi="Times New Roman" w:cs="Times New Roman"/>
              </w:rPr>
              <w:t>1.0</w:t>
            </w:r>
          </w:p>
        </w:tc>
      </w:tr>
    </w:tbl>
    <w:p w:rsidR="0068553F" w:rsidRPr="00F41088" w:rsidRDefault="00F41088">
      <w:pPr>
        <w:rPr>
          <w:rFonts w:ascii="Times New Roman" w:hAnsi="Times New Roman" w:cs="Times New Roman"/>
        </w:rPr>
      </w:pPr>
      <w:r w:rsidRPr="00F41088">
        <w:rPr>
          <w:rFonts w:ascii="Times New Roman" w:hAnsi="Times New Roman" w:cs="Times New Roman"/>
        </w:rPr>
        <w:t>Event-based post-hoc power context for the primary LVGLS threshold analysis.</w:t>
      </w:r>
    </w:p>
    <w:sectPr w:rsidR="0068553F" w:rsidRPr="00F41088" w:rsidSect="00F41088">
      <w:pgSz w:w="12240" w:h="15840"/>
      <w:pgMar w:top="1134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149" w:rsidRDefault="004B3149">
      <w:pPr>
        <w:spacing w:line="240" w:lineRule="auto"/>
      </w:pPr>
      <w:r>
        <w:separator/>
      </w:r>
    </w:p>
  </w:endnote>
  <w:endnote w:type="continuationSeparator" w:id="0">
    <w:p w:rsidR="004B3149" w:rsidRDefault="004B31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149" w:rsidRDefault="004B3149">
      <w:pPr>
        <w:spacing w:after="0"/>
      </w:pPr>
      <w:r>
        <w:separator/>
      </w:r>
    </w:p>
  </w:footnote>
  <w:footnote w:type="continuationSeparator" w:id="0">
    <w:p w:rsidR="004B3149" w:rsidRDefault="004B314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95FB3"/>
    <w:rsid w:val="0029639D"/>
    <w:rsid w:val="00326F90"/>
    <w:rsid w:val="004B3149"/>
    <w:rsid w:val="0052332C"/>
    <w:rsid w:val="00625FD6"/>
    <w:rsid w:val="0068553F"/>
    <w:rsid w:val="0071743C"/>
    <w:rsid w:val="0088324E"/>
    <w:rsid w:val="00A41748"/>
    <w:rsid w:val="00AA1D8D"/>
    <w:rsid w:val="00AB2BA6"/>
    <w:rsid w:val="00B47730"/>
    <w:rsid w:val="00B518B2"/>
    <w:rsid w:val="00BB298C"/>
    <w:rsid w:val="00C55AD3"/>
    <w:rsid w:val="00CB0664"/>
    <w:rsid w:val="00F41088"/>
    <w:rsid w:val="00FC693F"/>
    <w:rsid w:val="00FD448D"/>
    <w:rsid w:val="2A4F731E"/>
    <w:rsid w:val="3AD63D99"/>
    <w:rsid w:val="52BF1702"/>
    <w:rsid w:val="6F46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067D425-7BC8-429B-8617-752DB743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F9AEFC-3DAE-432E-B9CE-8BA44E17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Akira</cp:lastModifiedBy>
  <cp:revision>7</cp:revision>
  <dcterms:created xsi:type="dcterms:W3CDTF">2013-12-23T23:15:00Z</dcterms:created>
  <dcterms:modified xsi:type="dcterms:W3CDTF">2026-09-16T08:34:00Z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eyJoZGlkIjoiZTdiYTc4MDUxNmI5NDRkN2E0MTUyN2RhMjVjN2JlNzAiLCJ1c2VySWQiOiI0MTc0OTEyOTgifQ==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D57457986D2049DBB65D5B71449D0BFA_12</vt:lpwstr>
  </property>
  <property fmtid="{D5CDD505-2E9C-101B-9397-08002B2CF9AE}" pid="5" name="GrammarlyDocumentId">
    <vt:lpwstr>36a7ac44-5af4-4e80-8cf9-8ea68109f1fb</vt:lpwstr>
  </property>
</Properties>
</file>